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right="4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</w:r>
    </w:p>
    <w:p>
      <w:pPr>
        <w:ind w:left="5387" w:right="4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</w:r>
    </w:p>
    <w:p>
      <w:pPr>
        <w:ind w:left="5387" w:right="4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 xml:space="preserve">Индивидуального 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 xml:space="preserve">редпринимателя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</w:r>
    </w:p>
    <w:p>
      <w:pPr>
        <w:ind w:left="5387" w:right="4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 xml:space="preserve">Чиликина Виктора Олеговича 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</w:r>
    </w:p>
    <w:p>
      <w:pPr>
        <w:ind w:left="5387" w:right="4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 xml:space="preserve">От 31.03.2025 № 26/ ДОК</w:t>
      </w:r>
      <w:r>
        <w:rPr>
          <w:rFonts w:ascii="Times New Roman" w:hAnsi="Times New Roman" w:eastAsia="Times New Roman" w:cs="Times New Roman"/>
          <w:color w:val="000000"/>
          <w:sz w:val="24"/>
          <w:szCs w:val="28"/>
        </w:rPr>
      </w:r>
    </w:p>
    <w:p>
      <w:pPr>
        <w:ind w:left="5387" w:right="4"/>
        <w:spacing w:after="0" w:line="240" w:lineRule="auto"/>
        <w:rPr>
          <w:rFonts w:ascii="Times New Roman" w:hAnsi="Times New Roman" w:eastAsia="Times New Roman" w:cs="Times New Roman"/>
          <w:color w:val="00000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 xml:space="preserve">Дата 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u w:val="single"/>
        </w:rPr>
        <w:t xml:space="preserve">01.04.2025</w:t>
      </w:r>
      <w:r>
        <w:rPr>
          <w:rFonts w:ascii="Times New Roman" w:hAnsi="Times New Roman" w:eastAsia="Times New Roman" w:cs="Times New Roman"/>
          <w:color w:val="000000"/>
          <w:szCs w:val="24"/>
        </w:rPr>
      </w:r>
    </w:p>
    <w:p>
      <w:pPr>
        <w:ind w:right="4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4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Индивидуальный предприниматель Чиликин Виктор Олегович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ИП Чиликин Виктор Олегович)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b/>
          <w:bCs/>
          <w:color w:val="212529"/>
          <w:sz w:val="28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4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b/>
          <w:bCs/>
          <w:color w:val="212529"/>
          <w:sz w:val="28"/>
          <w:szCs w:val="24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4"/>
          <w:lang w:eastAsia="ru-RU"/>
        </w:rPr>
        <w:t xml:space="preserve">Политика в отношении обработки персональных данных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4"/>
          <w:lang w:eastAsia="ru-RU"/>
        </w:rPr>
      </w:r>
    </w:p>
    <w:p>
      <w:pPr>
        <w:pStyle w:val="734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/>
      <w:bookmarkStart w:id="0" w:name="_Toc196133984"/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1. Общие положения</w:t>
      </w:r>
      <w:bookmarkEnd w:id="0"/>
      <w:r/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Настоящая политика обработки персональных данных составлена в с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ИП Чиликин Виктор О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легович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» (далее — Оператор).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hyperlink r:id="rId11" w:tooltip="https://vsesoki.ru/" w:history="1">
        <w:r>
          <w:rPr>
            <w:rStyle w:val="753"/>
            <w:rFonts w:ascii="Times New Roman" w:hAnsi="Times New Roman" w:cs="Times New Roman"/>
          </w:rPr>
          <w:t xml:space="preserve">https://vsesoki.ru/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jc w:val="both"/>
        <w:spacing w:after="240"/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pPr>
      <w:r/>
      <w:bookmarkStart w:id="2" w:name="_Toc196133985"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  <w:t xml:space="preserve">2. Основные понятия, используемые в Политике</w:t>
      </w:r>
      <w:bookmarkEnd w:id="2"/>
      <w:r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2.1. Автоматизированная обработка персональных данных — обработка персональных данных с помощью средств вычислительной техники.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hyperlink r:id="rId12" w:tooltip="https://vsesoki.ru/" w:history="1">
        <w:r>
          <w:rPr>
            <w:rStyle w:val="753"/>
            <w:rFonts w:ascii="Times New Roman" w:hAnsi="Times New Roman" w:cs="Times New Roman"/>
          </w:rPr>
          <w:t xml:space="preserve">https://vsesoki.ru/</w:t>
        </w:r>
      </w:hyperlink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2.8. Персональные данные — любая информация, относящаяся прямо или косвенно к определенному или определяемому Пользователю веб-сайта </w:t>
      </w:r>
      <w:hyperlink r:id="rId13" w:tooltip="https://vs-treid.ru/" w:history="1">
        <w:r>
          <w:rPr>
            <w:rStyle w:val="753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https://vsesoki.ru/</w:t>
        </w:r>
      </w:hyperlink>
      <w:r/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2.10. Пользователь — любой посетитель веб-сайта </w:t>
      </w:r>
      <w:hyperlink r:id="rId14" w:tooltip="https://vs-treid.ru/" w:history="1">
        <w:r>
          <w:rPr>
            <w:rStyle w:val="753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https://vsesoki.ru/</w:t>
        </w:r>
      </w:hyperlink>
      <w:r/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2.14. Уничтожение персональных данных — любые де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jc w:val="both"/>
        <w:spacing w:after="240"/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pPr>
      <w:r/>
      <w:bookmarkStart w:id="3" w:name="_Toc196133986"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  <w:t xml:space="preserve">3. Основные права и обязанности Оператора</w:t>
      </w:r>
      <w:bookmarkEnd w:id="3"/>
      <w:r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3.1. Оператор имеет право: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получать от субъекта персональных данных достоверные информацию и/или документы, содержащие персональные данные;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в случае отзыва субъектом персональных данных согласия на обработку персональных данны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самостоятельно определять состав и перечень мер, необходимых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3.2. Оператор обязан: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предоставлять субъекту персональных данных по его просьбе информацию, касающуюся обработки его персональных данных;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организовывать обработку персональных данных в порядке, установленном действующим законодательством РФ;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публиковать или иным образом обеспечивать неограниченный доступ к настоящей Политике в отношении обработки персональных данных;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принимать правовые, организационные и технические мер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исполнять иные обязанности, предусмотренные Законом о 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jc w:val="both"/>
        <w:spacing w:after="240"/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pPr>
      <w:r/>
      <w:bookmarkStart w:id="4" w:name="_Toc196133987"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  <w:t xml:space="preserve">4. Основные права и обязанности субъектов персональных данных</w:t>
      </w:r>
      <w:bookmarkEnd w:id="4"/>
      <w:r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4.1. Субъекты персональных данных имеют право: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требовать от оператора уточнения его персональных данных, их бл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выдвигать условие предварительного согласия при обработке персональных данных в целях продвижения на рынке товаров, работ и услуг;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на отзыв согласия на обработку персональных данных, а также, на направление требования о прекращении обработки персональных данных;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на осуществление иных прав, предусмотренных законодательством РФ.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4.2. Субъекты персональных данных обязаны: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предоставлять Оператору достоверные данные о себе;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— сообщать Оператору об уточнении (обновлении, изменении) своих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jc w:val="both"/>
        <w:spacing w:after="240"/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pPr>
      <w:r/>
      <w:bookmarkStart w:id="5" w:name="_Toc196133988"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  <w:t xml:space="preserve">5. Принципы обработки персональных данных</w:t>
      </w:r>
      <w:bookmarkEnd w:id="5"/>
      <w:r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5.1. Обработка персональных данных осуществляется на законной и справедливой основе.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5.4. Обработке подлежат только персональные данные, которые отвечают целям их обработки.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5.6. При обработке персональны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неполных,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или неточных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5.7. Хранение персональных данных осуществляется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поручителем,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jc w:val="both"/>
        <w:spacing w:after="240"/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pPr>
      <w:r/>
      <w:bookmarkStart w:id="6" w:name="_Toc196133989"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  <w:t xml:space="preserve">6. Цели обработки персональных данных</w:t>
      </w:r>
      <w:bookmarkEnd w:id="6"/>
      <w:r/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</w:r>
    </w:p>
    <w:tbl>
      <w:tblPr>
        <w:tblW w:w="0" w:type="auto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47"/>
        <w:gridCol w:w="7492"/>
      </w:tblGrid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pStyle w:val="735"/>
              <w:jc w:val="both"/>
              <w:spacing w:before="0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/>
            <w:bookmarkStart w:id="7" w:name="_Toc196133990"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Цель обработки</w:t>
            </w:r>
            <w:bookmarkEnd w:id="7"/>
            <w:r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bookmarkStart w:id="8" w:name="_Toc196133991"/>
            <w:r>
              <w:rPr>
                <w:rFonts w:ascii="Times New Roman" w:hAnsi="Times New Roman" w:cs="Times New Roman"/>
              </w:rPr>
              <w:t xml:space="preserve">Ведение кадрового и бухгалтерского учета</w:t>
            </w:r>
            <w:bookmarkEnd w:id="8"/>
            <w:r/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Персональные данные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адрес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Номера телефонов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Год, месяц, дата и место рождения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положение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жительства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телефона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СНИЛС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документа, удостоверяющего личность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банковской карты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расчетного счета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лицевого счета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0"/>
              </w:num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образовании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Правовые основания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ст. 2.1, 4.1, 4.8 Федерального закона от 29.12.2006 № 255-ФЗ «Об обязательном социальном страховании на случай временной нетрудоспособности и в связи с материнством»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ст.ст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. 5, 16, 17, 20.1,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Постановление Правительства РФ от 16.04.2003 № 225 «О трудовых книжках»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Постановление Госкомстата России от 05.01.2004 № 1 «Об утверждении унифицированных форм первичной учетной документации по учету труда и его оплаты»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Трудовые и гражданско-правовые договора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Согласия субъектов на обработку персональных данных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ст. 24 Налогового кодекса РФ (часть первая) от 31.07.1998 № 146-ФЗ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ст.ст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. 226 и 230 Налогового кодекса Российской Федерации (часть вторая) от 05.08.2000 № 117-ФЗ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ст. 29 Федерального закона № 402-ФЗ «О бухгалтерском учете»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249" w:hanging="25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Трудовой кодекс Российской Федерации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Виды обработки персональных данных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распространение;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pStyle w:val="735"/>
              <w:jc w:val="both"/>
              <w:spacing w:before="0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/>
            <w:bookmarkStart w:id="9" w:name="_Toc196133992"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Цель обработки</w:t>
            </w:r>
            <w:bookmarkEnd w:id="9"/>
            <w:r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pStyle w:val="756"/>
              <w:ind w:left="227"/>
              <w:jc w:val="both"/>
              <w:rPr>
                <w:rFonts w:ascii="Times New Roman" w:hAnsi="Times New Roman" w:cs="Times New Roman"/>
              </w:rPr>
            </w:pPr>
            <w:r/>
            <w:bookmarkStart w:id="10" w:name="_Toc196133993"/>
            <w:r>
              <w:rPr>
                <w:rFonts w:ascii="Times New Roman" w:hAnsi="Times New Roman" w:cs="Times New Roman"/>
              </w:rPr>
              <w:t xml:space="preserve">Поддержка и развитие кадрового потенциала, обеспечение безопасности и эффективности работы</w:t>
            </w:r>
            <w:bookmarkEnd w:id="10"/>
            <w:r/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Персональные данные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положение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жительства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телефона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документа, удостоверяющего личность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персональные данные (указывается конкретная категория)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изображения лица, полученные с помощью фото- и видео устройств, на основании которых можно установить его личность и которые используются оператором для установления личности субъекта персональных данных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голоса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образовании, квалификации, специальности, переподготовке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реквизиты (серия и номер, дата выдачи, наименование выдавшего органа) документа об образовании, квалификации, специальности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трудовой деятельности (период работы, наименование организации, сфера деятельности, должность, функциональные обязанности)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имеющейся и желаемой заработной плате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Правовые основания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осуществляется с согласия субъекта персональных данных на обработку его персональных данных.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1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осуществляется для исполнения трудового договора или обязательств работодателя в рамках законодательства.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Виды обработки персональных данных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распространение;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vanish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vanish/>
          <w:color w:val="21252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vanish/>
          <w:color w:val="212529"/>
          <w:sz w:val="24"/>
          <w:szCs w:val="24"/>
          <w:lang w:eastAsia="ru-RU"/>
        </w:rPr>
      </w:r>
    </w:p>
    <w:tbl>
      <w:tblPr>
        <w:tblW w:w="0" w:type="auto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47"/>
        <w:gridCol w:w="7492"/>
      </w:tblGrid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pStyle w:val="735"/>
              <w:jc w:val="both"/>
              <w:spacing w:before="0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/>
            <w:bookmarkStart w:id="11" w:name="_Toc196133994"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Цель обработки</w:t>
            </w:r>
            <w:bookmarkEnd w:id="11"/>
            <w:r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bookmarkStart w:id="12" w:name="_Toc196133995"/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рганизация постановки на индивидуальный (персонифицированный) учет работников в системе обязательного пенсионного страхования</w:t>
            </w:r>
            <w:bookmarkEnd w:id="12"/>
            <w:r/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Персональные данные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Год, месяц, дата и место рождения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Свидетельство о гражданстве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Данные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 документа, удостоверяющего личность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Номер свидетельства обязательного пенсионного страхования, дата регистрации в системе обязательного пенсионного страхования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Адрес регистрации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СНИЛС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Сведения о периодах трудовой и иной деятельности, включаемых в страховую стажировку (в том числе по условиям труда, работы в регионах Крайнего Севера и пр.)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Данные о заработной плате или доходе, согласно которым перечислены страховые взносы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ind w:left="209" w:hanging="209"/>
              <w:jc w:val="both"/>
              <w:spacing w:after="0" w:line="240" w:lineRule="auto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  <w:t xml:space="preserve">Суммы начисленных и уплаченных страховых взносов работодателем за данного работника.</w:t>
            </w:r>
            <w:r>
              <w:rPr>
                <w:rFonts w:ascii="Times New Roman" w:hAnsi="Times New Roman" w:eastAsia="Times New Roman" w:cs="Times New Roman"/>
                <w:color w:val="212529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Правовые основания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pStyle w:val="756"/>
              <w:numPr>
                <w:ilvl w:val="0"/>
                <w:numId w:val="22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</w:t>
            </w:r>
            <w:r>
              <w:rPr>
                <w:rFonts w:ascii="Times New Roman" w:hAnsi="Times New Roman" w:cs="Times New Roman"/>
              </w:rPr>
              <w:t xml:space="preserve">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2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</w:t>
            </w:r>
            <w:r>
              <w:rPr>
                <w:rFonts w:ascii="Times New Roman" w:hAnsi="Times New Roman" w:cs="Times New Roman"/>
              </w:rPr>
              <w:t xml:space="preserve">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2"/>
              </w:numPr>
              <w:ind w:left="227" w:hanging="227"/>
              <w:jc w:val="both"/>
              <w:rPr>
                <w:shd w:val="clear" w:color="auto" w:fill="fcf8e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ст.ст</w:t>
            </w:r>
            <w:r>
              <w:rPr>
                <w:rFonts w:ascii="Times New Roman" w:hAnsi="Times New Roman" w:cs="Times New Roman"/>
              </w:rPr>
              <w:t xml:space="preserve">. 8, 11, 14 Федерального закона от 01.04.1996 № 27-ФЗ «Об индивидуальном (персонифицированном) учете в системе обязательного пенсионного страхования»</w:t>
            </w:r>
            <w:r>
              <w:rPr>
                <w:shd w:val="clear" w:color="auto" w:fill="fcf8e3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Виды обработки персональных данных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ind w:left="36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распространение;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pStyle w:val="735"/>
              <w:jc w:val="both"/>
              <w:spacing w:before="0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/>
            <w:bookmarkStart w:id="13" w:name="_Toc196133996"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Цель обработки</w:t>
            </w:r>
            <w:bookmarkEnd w:id="13"/>
            <w:r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bookmarkStart w:id="14" w:name="_Toc196133997"/>
            <w:r>
              <w:rPr>
                <w:rFonts w:ascii="Times New Roman" w:hAnsi="Times New Roman" w:cs="Times New Roman"/>
              </w:rPr>
              <w:t xml:space="preserve">Подготовка, заключение и исполнение гражданско-правового договора</w:t>
            </w:r>
            <w:bookmarkEnd w:id="14"/>
            <w:r/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32"/>
        </w:trPr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Персональные данные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адрес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Номера телефонов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Год, месяц, дата и место рождения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доставки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контрагента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Данные, содержащиеся в доверенности (когда требуется ее предъявление)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документа, удостоверяющего личность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банковской карты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Правовые основания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осуществляется с согласия субъекта персональных данных на обработку его персональных данных.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необходима для исполнения договора, стороной которого либо выгодоприобре</w:t>
            </w:r>
            <w:r>
              <w:rPr>
                <w:rFonts w:ascii="Times New Roman" w:hAnsi="Times New Roman" w:cs="Times New Roman"/>
              </w:rPr>
              <w:t xml:space="preserve">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3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Заключаемый с субъектом персональных данных договор не может содержать положения, ограничивающие права и свободы субъекта персональных данных.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Виды обработки персональных данных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распространение;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vanish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vanish/>
          <w:color w:val="21252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vanish/>
          <w:color w:val="212529"/>
          <w:sz w:val="24"/>
          <w:szCs w:val="24"/>
          <w:lang w:eastAsia="ru-RU"/>
        </w:rPr>
      </w:r>
    </w:p>
    <w:tbl>
      <w:tblPr>
        <w:tblW w:w="0" w:type="auto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47"/>
        <w:gridCol w:w="7492"/>
      </w:tblGrid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pStyle w:val="735"/>
              <w:jc w:val="both"/>
              <w:spacing w:before="0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/>
            <w:bookmarkStart w:id="15" w:name="_Toc196133998"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Цель обработки</w:t>
            </w:r>
            <w:bookmarkEnd w:id="15"/>
            <w:r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bookmarkStart w:id="16" w:name="_Toc196133999"/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едение базы данных клиентов для обеспечения эффективного взаимодействия, включая поддержание контактов, информирование о статусе заказов, а также предоставление информации о новых продуктах, услугах и рекламных акциях</w:t>
            </w:r>
            <w:bookmarkEnd w:id="16"/>
            <w:r/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Персональные данные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pStyle w:val="756"/>
              <w:numPr>
                <w:ilvl w:val="0"/>
                <w:numId w:val="24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4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адрес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4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Номера телефонов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4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доставки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4"/>
              </w:numPr>
              <w:ind w:left="227" w:hanging="227"/>
              <w:jc w:val="both"/>
              <w:rPr>
                <w:shd w:val="clear" w:color="auto" w:fill="fcf8e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Сведения, собираемые посредством метрических программ</w:t>
            </w:r>
            <w:r>
              <w:rPr>
                <w:shd w:val="clear" w:color="auto" w:fill="fcf8e3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Правовые основания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бработка персональных данных осуществляется с согласия субъекта персональных данных на обработку его персональных данных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Виды обработки персональных данных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распространение;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pStyle w:val="735"/>
              <w:jc w:val="both"/>
              <w:spacing w:before="0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/>
            <w:bookmarkStart w:id="17" w:name="_Toc196134000"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Цель обработки</w:t>
            </w:r>
            <w:bookmarkEnd w:id="17"/>
            <w:r/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bookmarkStart w:id="18" w:name="_Toc196134001"/>
            <w:r>
              <w:rPr>
                <w:rFonts w:ascii="Times New Roman" w:hAnsi="Times New Roman" w:cs="Times New Roman"/>
              </w:rPr>
              <w:t xml:space="preserve">Улучшение качества обслуживания и персонализация предложений</w:t>
            </w:r>
            <w:bookmarkEnd w:id="18"/>
            <w:r/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Персональные данные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pStyle w:val="756"/>
              <w:numPr>
                <w:ilvl w:val="0"/>
                <w:numId w:val="25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5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адрес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5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Номера телефонов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5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Год, месяц, дата и место рождения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6"/>
              <w:numPr>
                <w:ilvl w:val="0"/>
                <w:numId w:val="25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Сведения, собираемые посредством метрических программ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Правовые основания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227" w:hanging="227"/>
              <w:jc w:val="both"/>
              <w:spacing w:after="0" w:line="240" w:lineRule="auto"/>
              <w:tabs>
                <w:tab w:val="clear" w:pos="720" w:leader="none"/>
                <w:tab w:val="num" w:pos="936" w:leader="none"/>
              </w:tabs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Обработка персональных данных осуществляется с согласия субъекта персональных данных на обработку его персональных данных.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7"/>
              </w:numPr>
              <w:ind w:left="227" w:hanging="227"/>
              <w:jc w:val="both"/>
              <w:spacing w:after="0" w:line="240" w:lineRule="auto"/>
              <w:tabs>
                <w:tab w:val="clear" w:pos="720" w:leader="none"/>
                <w:tab w:val="num" w:pos="936" w:leader="none"/>
              </w:tabs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Обработка персональных данных необходима для исполнения договора, стороной которого либо выгодоприобре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7"/>
              </w:numPr>
              <w:ind w:left="227" w:hanging="227"/>
              <w:jc w:val="both"/>
              <w:spacing w:after="0" w:line="240" w:lineRule="auto"/>
              <w:tabs>
                <w:tab w:val="clear" w:pos="720" w:leader="none"/>
                <w:tab w:val="num" w:pos="936" w:leader="none"/>
              </w:tabs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Заключаемый с субъектом персональных данных договор не может содержать положения, ограничивающие права и свободы субъекта персональных данных.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17"/>
        </w:trPr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  <w:t xml:space="preserve">Виды обработки персональных данных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04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уничтожение; распространение;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  <w:r/>
      <w:bookmarkStart w:id="19" w:name="_Toc196134002"/>
      <w:r>
        <w:rPr>
          <w:rFonts w:ascii="Times New Roman" w:hAnsi="Times New Roman" w:cs="Times New Roman"/>
          <w:sz w:val="24"/>
          <w:szCs w:val="28"/>
          <w:lang w:eastAsia="ru-RU"/>
        </w:rPr>
        <w:t xml:space="preserve">6.1.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Настоящим уведомляем, что на </w:t>
      </w:r>
      <w:r>
        <w:rPr>
          <w:rFonts w:ascii="Times New Roman" w:hAnsi="Times New Roman" w:eastAsia="Times New Roman" w:cs="Times New Roman"/>
          <w:color w:val="212529"/>
          <w:sz w:val="24"/>
          <w:szCs w:val="28"/>
          <w:lang w:eastAsia="ru-RU"/>
        </w:rPr>
        <w:t xml:space="preserve">веб-сайте </w:t>
      </w:r>
      <w:hyperlink r:id="rId15" w:tooltip="https://vs-treid.ru/" w:history="1">
        <w:r>
          <w:rPr>
            <w:rStyle w:val="753"/>
            <w:rFonts w:ascii="Times New Roman" w:hAnsi="Times New Roman" w:eastAsia="Times New Roman" w:cs="Times New Roman"/>
            <w:sz w:val="24"/>
            <w:szCs w:val="28"/>
            <w:lang w:eastAsia="ru-RU"/>
          </w:rPr>
          <w:t xml:space="preserve">https://vsesoki.ru/</w:t>
        </w:r>
      </w:hyperlink>
      <w:r>
        <w:rPr>
          <w:rStyle w:val="753"/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используются определенные файлы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cookie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(далее — «cookies»). Сбор и обработка данных с помощью файлов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cookie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осуществляется с целью анализа поведения посетителей сайта и оценки эффективности рекламных стратегий и сетевого поиска.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jc w:val="both"/>
        <w:spacing w:before="240"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Собранная информация используется для: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7"/>
        </w:numPr>
        <w:jc w:val="both"/>
        <w:spacing w:after="0"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улучшение понимания посетителей сайта;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7"/>
        </w:numPr>
        <w:jc w:val="both"/>
        <w:spacing w:after="0"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повысить качество и удобство использования сайта и предоставляемых сервисов;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7"/>
        </w:numPr>
        <w:jc w:val="both"/>
        <w:spacing w:after="0"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оптимизация рекламных и маркетинговых мероприятий.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jc w:val="both"/>
        <w:spacing w:before="24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Автоматически перемещаться и определять следующие сведения: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8"/>
        </w:numPr>
        <w:jc w:val="both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IP-адрес посетителя;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8"/>
        </w:numPr>
        <w:jc w:val="both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тип и язык используемого браузера;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8"/>
        </w:numPr>
        <w:jc w:val="both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информация о поставщиках интернет-услуг;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8"/>
        </w:numPr>
        <w:jc w:val="both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страницы, с которых посетитель пришел на сайт (страницы отсылки) и страницы вывода;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8"/>
        </w:numPr>
        <w:jc w:val="both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сведения об внешней системе устройства;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8"/>
        </w:numPr>
        <w:jc w:val="both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отметка даты и времени посещения;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56"/>
        <w:numPr>
          <w:ilvl w:val="0"/>
          <w:numId w:val="28"/>
        </w:numPr>
        <w:jc w:val="both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данные о посещениях и другая информация о поведении посетителей на сайте.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Посетитель сайта имеет право запретить использование файлов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cookie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в работе своего веб-браузера или мобильного устройства. Отключение файлов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cookie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может зависеть от функциональности сайта и качества предоставляемых услуг.</w:t>
      </w:r>
      <w:r>
        <w:rPr>
          <w:rFonts w:ascii="Times New Roman" w:hAnsi="Times New Roman" w:cs="Times New Roman"/>
          <w:sz w:val="24"/>
          <w:szCs w:val="28"/>
          <w:lang w:eastAsia="ru-RU"/>
        </w:rPr>
      </w:r>
    </w:p>
    <w:p>
      <w:pPr>
        <w:pStyle w:val="734"/>
        <w:jc w:val="both"/>
        <w:spacing w:after="240" w:line="276" w:lineRule="auto"/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  <w:t xml:space="preserve">7. Условия обработки персональных данных</w:t>
      </w:r>
      <w:bookmarkEnd w:id="19"/>
      <w:r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7.1. Обработка персональных данных осуществляется с согласия субъекта персональных данных на обработку его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поручителем,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ind w:firstLine="284"/>
        <w:jc w:val="both"/>
        <w:spacing w:before="0" w:line="276" w:lineRule="auto"/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pPr>
      <w:r/>
      <w:bookmarkStart w:id="20" w:name="_Toc196134003"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  <w:t xml:space="preserve">8. Порядок сбора, хранения, передачи и других видов обработки персональных данных</w:t>
      </w:r>
      <w:bookmarkEnd w:id="20"/>
      <w:r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r>
    </w:p>
    <w:p>
      <w:pPr>
        <w:ind w:firstLine="284"/>
        <w:jc w:val="both"/>
        <w:spacing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Безопасност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8.2. Персональные данные Пользователя никогда, ни при каких условиях не будут переданы треть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16" w:tooltip="mailto:info@vsesoki.com" w:history="1">
        <w:r>
          <w:rPr>
            <w:rStyle w:val="753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info@vsesoki.com</w:t>
        </w:r>
      </w:hyperlink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с пометкой «Актуализация персональных данных».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17" w:tooltip="mailto:info@vsesoki.com" w:history="1">
        <w:r>
          <w:rPr>
            <w:rStyle w:val="753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info@vsesoki.com</w:t>
        </w:r>
      </w:hyperlink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с пометкой «Отзыв согласия на обработку персональных данных».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8.6. Установленные субъектом персональных данных запреты на передачу (кроме предоставления доступа), а также на обр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8.7. Оператор при обработке персональных данных обеспечивает конфиденциальность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поручителем,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8.9. Условием прекращения обработки персональных данных может являться достижение целей обрабо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ind w:firstLine="284"/>
        <w:jc w:val="both"/>
        <w:spacing w:after="240" w:line="276" w:lineRule="auto"/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pPr>
      <w:r/>
      <w:bookmarkStart w:id="21" w:name="_Toc196134004"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  <w:t xml:space="preserve">9. Перечень действий, производимых Оператором с полученными персональными данными</w:t>
      </w:r>
      <w:bookmarkEnd w:id="21"/>
      <w:r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9.1. Опер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ind w:firstLine="284"/>
        <w:jc w:val="both"/>
        <w:spacing w:after="240" w:line="276" w:lineRule="auto"/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pPr>
      <w:r/>
      <w:bookmarkStart w:id="22" w:name="_Toc196134005"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  <w:t xml:space="preserve">10. Трансграничная передача персональных данных</w:t>
      </w:r>
      <w:bookmarkEnd w:id="22"/>
      <w:r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10.1. Оператор до начала осуществления деятельности по трансграничной передаче персональных данных обязан уведоми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10.2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ind w:firstLine="284"/>
        <w:jc w:val="both"/>
        <w:spacing w:after="240" w:line="276" w:lineRule="auto"/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pPr>
      <w:r/>
      <w:bookmarkStart w:id="23" w:name="_Toc196134006"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  <w:t xml:space="preserve">11. Конфиденциальность персональных данных</w:t>
      </w:r>
      <w:bookmarkEnd w:id="23"/>
      <w:r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r>
    </w:p>
    <w:p>
      <w:pPr>
        <w:ind w:firstLine="284"/>
        <w:jc w:val="both"/>
        <w:spacing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pStyle w:val="734"/>
        <w:ind w:firstLine="284"/>
        <w:jc w:val="both"/>
        <w:spacing w:after="240" w:line="276" w:lineRule="auto"/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pPr>
      <w:r/>
      <w:bookmarkStart w:id="24" w:name="_Toc196134007"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  <w:t xml:space="preserve">12. Заключительные положения</w:t>
      </w:r>
      <w:bookmarkEnd w:id="24"/>
      <w:r/>
      <w:r>
        <w:rPr>
          <w:rFonts w:ascii="Times New Roman" w:hAnsi="Times New Roman" w:eastAsia="Times New Roman" w:cs="Times New Roman"/>
          <w:b/>
          <w:color w:val="212529"/>
          <w:sz w:val="28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 </w:t>
      </w:r>
      <w:hyperlink r:id="rId18" w:tooltip="mailto:info@vsesoki.com" w:history="1">
        <w:r>
          <w:rPr>
            <w:rStyle w:val="753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info@vsesoki.com</w:t>
        </w:r>
      </w:hyperlink>
      <w:r/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ind w:firstLine="284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12.3. Актуальная версия Политики в свободном доступе расположена в сети Интернет по адресу </w:t>
      </w:r>
      <w:hyperlink r:id="rId19" w:tooltip="https://vs-treid.ru/" w:history="1">
        <w:r>
          <w:rPr>
            <w:rStyle w:val="753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https://vsesoki.ru/</w:t>
        </w:r>
      </w:hyperlink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0" w:bottom="1134" w:left="1701" w:header="851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41034764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74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5" w:hanging="360"/>
        <w:tabs>
          <w:tab w:val="num" w:pos="785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  <w:tabs>
          <w:tab w:val="num" w:pos="1505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  <w:tabs>
          <w:tab w:val="num" w:pos="2225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945" w:hanging="360"/>
        <w:tabs>
          <w:tab w:val="num" w:pos="2945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65" w:hanging="360"/>
        <w:tabs>
          <w:tab w:val="num" w:pos="3665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  <w:tabs>
          <w:tab w:val="num" w:pos="4385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105" w:hanging="360"/>
        <w:tabs>
          <w:tab w:val="num" w:pos="5105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825" w:hanging="360"/>
        <w:tabs>
          <w:tab w:val="num" w:pos="5825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  <w:tabs>
          <w:tab w:val="num" w:pos="6545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0"/>
  </w:num>
  <w:num w:numId="5">
    <w:abstractNumId w:val="27"/>
  </w:num>
  <w:num w:numId="6">
    <w:abstractNumId w:val="23"/>
  </w:num>
  <w:num w:numId="7">
    <w:abstractNumId w:val="20"/>
  </w:num>
  <w:num w:numId="8">
    <w:abstractNumId w:val="8"/>
  </w:num>
  <w:num w:numId="9">
    <w:abstractNumId w:val="10"/>
  </w:num>
  <w:num w:numId="10">
    <w:abstractNumId w:val="9"/>
  </w:num>
  <w:num w:numId="11">
    <w:abstractNumId w:val="14"/>
  </w:num>
  <w:num w:numId="12">
    <w:abstractNumId w:val="12"/>
  </w:num>
  <w:num w:numId="13">
    <w:abstractNumId w:val="17"/>
  </w:num>
  <w:num w:numId="14">
    <w:abstractNumId w:val="26"/>
  </w:num>
  <w:num w:numId="15">
    <w:abstractNumId w:val="1"/>
  </w:num>
  <w:num w:numId="16">
    <w:abstractNumId w:val="7"/>
  </w:num>
  <w:num w:numId="17">
    <w:abstractNumId w:val="19"/>
  </w:num>
  <w:num w:numId="18">
    <w:abstractNumId w:val="6"/>
  </w:num>
  <w:num w:numId="19">
    <w:abstractNumId w:val="3"/>
  </w:num>
  <w:num w:numId="20">
    <w:abstractNumId w:val="11"/>
  </w:num>
  <w:num w:numId="21">
    <w:abstractNumId w:val="16"/>
  </w:num>
  <w:num w:numId="22">
    <w:abstractNumId w:val="21"/>
  </w:num>
  <w:num w:numId="23">
    <w:abstractNumId w:val="4"/>
  </w:num>
  <w:num w:numId="24">
    <w:abstractNumId w:val="25"/>
  </w:num>
  <w:num w:numId="25">
    <w:abstractNumId w:val="18"/>
  </w:num>
  <w:num w:numId="26">
    <w:abstractNumId w:val="24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8"/>
    <w:link w:val="7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8"/>
    <w:link w:val="73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3"/>
    <w:next w:val="7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8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8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8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3"/>
    <w:next w:val="7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3"/>
    <w:next w:val="7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3"/>
    <w:next w:val="7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3"/>
    <w:next w:val="7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3"/>
    <w:next w:val="7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8"/>
    <w:link w:val="34"/>
    <w:uiPriority w:val="10"/>
    <w:rPr>
      <w:sz w:val="48"/>
      <w:szCs w:val="48"/>
    </w:rPr>
  </w:style>
  <w:style w:type="paragraph" w:styleId="36">
    <w:name w:val="Subtitle"/>
    <w:basedOn w:val="733"/>
    <w:next w:val="7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8"/>
    <w:link w:val="36"/>
    <w:uiPriority w:val="11"/>
    <w:rPr>
      <w:sz w:val="24"/>
      <w:szCs w:val="24"/>
    </w:rPr>
  </w:style>
  <w:style w:type="paragraph" w:styleId="38">
    <w:name w:val="Quote"/>
    <w:basedOn w:val="733"/>
    <w:next w:val="7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3"/>
    <w:next w:val="7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8"/>
    <w:link w:val="746"/>
    <w:uiPriority w:val="99"/>
  </w:style>
  <w:style w:type="character" w:styleId="45">
    <w:name w:val="Footer Char"/>
    <w:basedOn w:val="738"/>
    <w:link w:val="748"/>
    <w:uiPriority w:val="99"/>
  </w:style>
  <w:style w:type="paragraph" w:styleId="46">
    <w:name w:val="Caption"/>
    <w:basedOn w:val="733"/>
    <w:next w:val="7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3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8"/>
    <w:uiPriority w:val="99"/>
    <w:unhideWhenUsed/>
    <w:rPr>
      <w:vertAlign w:val="superscript"/>
    </w:rPr>
  </w:style>
  <w:style w:type="paragraph" w:styleId="178">
    <w:name w:val="endnote text"/>
    <w:basedOn w:val="7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8"/>
    <w:uiPriority w:val="99"/>
    <w:semiHidden/>
    <w:unhideWhenUsed/>
    <w:rPr>
      <w:vertAlign w:val="superscript"/>
    </w:rPr>
  </w:style>
  <w:style w:type="paragraph" w:styleId="183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qFormat/>
  </w:style>
  <w:style w:type="paragraph" w:styleId="734">
    <w:name w:val="Heading 1"/>
    <w:basedOn w:val="733"/>
    <w:next w:val="733"/>
    <w:link w:val="75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5">
    <w:name w:val="Heading 2"/>
    <w:basedOn w:val="733"/>
    <w:next w:val="733"/>
    <w:link w:val="754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36">
    <w:name w:val="Heading 4"/>
    <w:basedOn w:val="733"/>
    <w:link w:val="741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37">
    <w:name w:val="Heading 5"/>
    <w:basedOn w:val="733"/>
    <w:link w:val="742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4 Знак"/>
    <w:basedOn w:val="738"/>
    <w:link w:val="73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742" w:customStyle="1">
    <w:name w:val="Заголовок 5 Знак"/>
    <w:basedOn w:val="738"/>
    <w:link w:val="737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43">
    <w:name w:val="Strong"/>
    <w:basedOn w:val="738"/>
    <w:uiPriority w:val="22"/>
    <w:qFormat/>
    <w:rPr>
      <w:b/>
      <w:bCs/>
    </w:rPr>
  </w:style>
  <w:style w:type="character" w:styleId="744" w:customStyle="1">
    <w:name w:val="link"/>
    <w:basedOn w:val="738"/>
  </w:style>
  <w:style w:type="character" w:styleId="745" w:customStyle="1">
    <w:name w:val="mark"/>
    <w:basedOn w:val="738"/>
  </w:style>
  <w:style w:type="paragraph" w:styleId="746">
    <w:name w:val="Header"/>
    <w:basedOn w:val="733"/>
    <w:link w:val="7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7" w:customStyle="1">
    <w:name w:val="Верхний колонтитул Знак"/>
    <w:basedOn w:val="738"/>
    <w:link w:val="746"/>
    <w:uiPriority w:val="99"/>
  </w:style>
  <w:style w:type="paragraph" w:styleId="748">
    <w:name w:val="Footer"/>
    <w:basedOn w:val="733"/>
    <w:link w:val="7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9" w:customStyle="1">
    <w:name w:val="Нижний колонтитул Знак"/>
    <w:basedOn w:val="738"/>
    <w:link w:val="748"/>
    <w:uiPriority w:val="99"/>
  </w:style>
  <w:style w:type="character" w:styleId="750" w:customStyle="1">
    <w:name w:val="Заголовок 1 Знак"/>
    <w:basedOn w:val="738"/>
    <w:link w:val="73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51">
    <w:name w:val="TOC Heading"/>
    <w:basedOn w:val="734"/>
    <w:next w:val="733"/>
    <w:uiPriority w:val="39"/>
    <w:unhideWhenUsed/>
    <w:qFormat/>
    <w:pPr>
      <w:outlineLvl w:val="9"/>
    </w:pPr>
    <w:rPr>
      <w:lang w:eastAsia="ru-RU"/>
    </w:rPr>
  </w:style>
  <w:style w:type="paragraph" w:styleId="752">
    <w:name w:val="toc 1"/>
    <w:basedOn w:val="733"/>
    <w:next w:val="733"/>
    <w:uiPriority w:val="39"/>
    <w:unhideWhenUsed/>
    <w:pPr>
      <w:spacing w:after="100"/>
    </w:pPr>
  </w:style>
  <w:style w:type="character" w:styleId="753">
    <w:name w:val="Hyperlink"/>
    <w:basedOn w:val="738"/>
    <w:uiPriority w:val="99"/>
    <w:unhideWhenUsed/>
    <w:rPr>
      <w:color w:val="0563c1" w:themeColor="hyperlink"/>
      <w:u w:val="single"/>
    </w:rPr>
  </w:style>
  <w:style w:type="character" w:styleId="754" w:customStyle="1">
    <w:name w:val="Заголовок 2 Знак"/>
    <w:basedOn w:val="738"/>
    <w:link w:val="735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55">
    <w:name w:val="toc 2"/>
    <w:basedOn w:val="733"/>
    <w:next w:val="733"/>
    <w:uiPriority w:val="39"/>
    <w:unhideWhenUsed/>
    <w:pPr>
      <w:ind w:left="220"/>
      <w:spacing w:after="100"/>
    </w:pPr>
  </w:style>
  <w:style w:type="paragraph" w:styleId="756">
    <w:name w:val="List Paragraph"/>
    <w:basedOn w:val="733"/>
    <w:uiPriority w:val="34"/>
    <w:qFormat/>
    <w:pPr>
      <w:contextualSpacing/>
      <w:ind w:left="720"/>
    </w:pPr>
  </w:style>
  <w:style w:type="table" w:styleId="757">
    <w:name w:val="Table Grid"/>
    <w:basedOn w:val="73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8">
    <w:name w:val="Balloon Text"/>
    <w:basedOn w:val="733"/>
    <w:link w:val="7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59" w:customStyle="1">
    <w:name w:val="Текст выноски Знак"/>
    <w:basedOn w:val="738"/>
    <w:link w:val="75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vsesoki.ru/" TargetMode="External"/><Relationship Id="rId12" Type="http://schemas.openxmlformats.org/officeDocument/2006/relationships/hyperlink" Target="https://vsesoki.ru/" TargetMode="External"/><Relationship Id="rId13" Type="http://schemas.openxmlformats.org/officeDocument/2006/relationships/hyperlink" Target="https://vs-treid.ru/" TargetMode="External"/><Relationship Id="rId14" Type="http://schemas.openxmlformats.org/officeDocument/2006/relationships/hyperlink" Target="https://vs-treid.ru/" TargetMode="External"/><Relationship Id="rId15" Type="http://schemas.openxmlformats.org/officeDocument/2006/relationships/hyperlink" Target="https://vs-treid.ru/" TargetMode="External"/><Relationship Id="rId16" Type="http://schemas.openxmlformats.org/officeDocument/2006/relationships/hyperlink" Target="mailto:info@vsesoki.com" TargetMode="External"/><Relationship Id="rId17" Type="http://schemas.openxmlformats.org/officeDocument/2006/relationships/hyperlink" Target="mailto:info@vsesoki.com" TargetMode="External"/><Relationship Id="rId18" Type="http://schemas.openxmlformats.org/officeDocument/2006/relationships/hyperlink" Target="mailto:info@vsesoki.com" TargetMode="External"/><Relationship Id="rId19" Type="http://schemas.openxmlformats.org/officeDocument/2006/relationships/hyperlink" Target="https://vs-treid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0555-AFFB-4871-82B7-8F080D5F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Анна Ш.</cp:lastModifiedBy>
  <cp:revision>13</cp:revision>
  <dcterms:created xsi:type="dcterms:W3CDTF">2025-04-21T09:46:00Z</dcterms:created>
  <dcterms:modified xsi:type="dcterms:W3CDTF">2025-05-28T07:08:11Z</dcterms:modified>
</cp:coreProperties>
</file>